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C3C1" w14:textId="77777777" w:rsidR="004904A5" w:rsidRDefault="004904A5" w:rsidP="004904A5">
      <w:pPr>
        <w:pStyle w:val="Heading2"/>
        <w:spacing w:before="0" w:after="0"/>
        <w:ind w:right="360"/>
        <w:rPr>
          <w:b w:val="0"/>
          <w:sz w:val="22"/>
          <w:szCs w:val="22"/>
        </w:rPr>
      </w:pPr>
      <w:r>
        <w:fldChar w:fldCharType="begin"/>
      </w:r>
      <w:r>
        <w:instrText>HYPERLINK "https://bard.google.com/" \h</w:instrText>
      </w:r>
      <w:r>
        <w:fldChar w:fldCharType="separate"/>
      </w:r>
      <w:r>
        <w:rPr>
          <w:color w:val="1155CC"/>
          <w:sz w:val="22"/>
          <w:szCs w:val="22"/>
          <w:u w:val="single"/>
        </w:rPr>
        <w:t>https://bard.google.com/</w:t>
      </w:r>
      <w:r>
        <w:rPr>
          <w:color w:val="1155CC"/>
          <w:sz w:val="22"/>
          <w:szCs w:val="22"/>
          <w:u w:val="single"/>
        </w:rPr>
        <w:fldChar w:fldCharType="end"/>
      </w:r>
    </w:p>
    <w:p w14:paraId="31AAA173" w14:textId="7AD5067F" w:rsidR="004904A5" w:rsidRDefault="004904A5" w:rsidP="004904A5">
      <w:r>
        <w:t xml:space="preserve">Prompt: </w:t>
      </w:r>
      <w:r w:rsidRPr="004904A5">
        <w:t>Describe barriers to closing the digital divide around the world as if it was a high school textbook chapter. Include references in APA style at the end.</w:t>
      </w:r>
      <w:r>
        <w:br/>
        <w:t xml:space="preserve">Generated: </w:t>
      </w:r>
      <w:proofErr w:type="gramStart"/>
      <w:r>
        <w:t>2/</w:t>
      </w:r>
      <w:r>
        <w:t>7</w:t>
      </w:r>
      <w:r>
        <w:t>/2024</w:t>
      </w:r>
      <w:proofErr w:type="gramEnd"/>
    </w:p>
    <w:p w14:paraId="00000001" w14:textId="77777777" w:rsidR="002E19B6" w:rsidRDefault="002E19B6">
      <w:pPr>
        <w:pStyle w:val="Heading2"/>
        <w:spacing w:before="0" w:after="0"/>
        <w:ind w:right="360"/>
        <w:rPr>
          <w:b w:val="0"/>
          <w:color w:val="000000"/>
          <w:sz w:val="22"/>
          <w:szCs w:val="22"/>
        </w:rPr>
      </w:pPr>
    </w:p>
    <w:p w14:paraId="00000002" w14:textId="77777777" w:rsidR="002E19B6" w:rsidRPr="004904A5" w:rsidRDefault="00000000">
      <w:pPr>
        <w:pBdr>
          <w:top w:val="nil"/>
          <w:left w:val="nil"/>
          <w:bottom w:val="nil"/>
          <w:right w:val="nil"/>
          <w:between w:val="nil"/>
        </w:pBdr>
        <w:spacing w:before="60" w:after="360"/>
        <w:ind w:right="360"/>
        <w:rPr>
          <w:b/>
          <w:bCs/>
          <w:color w:val="1F1F1F"/>
        </w:rPr>
      </w:pPr>
      <w:r w:rsidRPr="004904A5">
        <w:rPr>
          <w:b/>
          <w:bCs/>
          <w:color w:val="1F1F1F"/>
        </w:rPr>
        <w:t>Bridging the Gap: Understanding Barriers to Closing the Digital Divide</w:t>
      </w:r>
    </w:p>
    <w:p w14:paraId="00000003" w14:textId="77777777" w:rsidR="002E19B6" w:rsidRDefault="00000000">
      <w:pPr>
        <w:pBdr>
          <w:top w:val="nil"/>
          <w:left w:val="nil"/>
          <w:bottom w:val="nil"/>
          <w:right w:val="nil"/>
          <w:between w:val="nil"/>
        </w:pBdr>
        <w:spacing w:after="360"/>
        <w:ind w:right="360"/>
        <w:rPr>
          <w:color w:val="1F1F1F"/>
        </w:rPr>
      </w:pPr>
      <w:r>
        <w:rPr>
          <w:color w:val="1F1F1F"/>
        </w:rPr>
        <w:t>The digital divide refers to the unequal access to information and communication technologies (ICTs) between individuals, communities, and countries. While the internet has revolutionized access to information and opportunities, millions worldwide remain offline, creating a significant barrier to social and economic development. Understanding the multifaceted nature of these barriers is crucial in bridging the digital divide and fostering a more inclusive digital world.</w:t>
      </w:r>
    </w:p>
    <w:p w14:paraId="00000004" w14:textId="77777777" w:rsidR="002E19B6" w:rsidRDefault="00000000">
      <w:pPr>
        <w:pBdr>
          <w:top w:val="nil"/>
          <w:left w:val="nil"/>
          <w:bottom w:val="nil"/>
          <w:right w:val="nil"/>
          <w:between w:val="nil"/>
        </w:pBdr>
        <w:spacing w:after="360"/>
        <w:ind w:right="360"/>
        <w:rPr>
          <w:b/>
          <w:color w:val="1F1F1F"/>
        </w:rPr>
      </w:pPr>
      <w:r>
        <w:rPr>
          <w:b/>
          <w:color w:val="1F1F1F"/>
        </w:rPr>
        <w:t>Infrastructure Bottlenecks:</w:t>
      </w:r>
    </w:p>
    <w:p w14:paraId="00000005" w14:textId="77777777" w:rsidR="002E19B6" w:rsidRDefault="00000000">
      <w:pPr>
        <w:numPr>
          <w:ilvl w:val="0"/>
          <w:numId w:val="5"/>
        </w:numPr>
        <w:pBdr>
          <w:top w:val="nil"/>
          <w:left w:val="nil"/>
          <w:bottom w:val="nil"/>
          <w:right w:val="nil"/>
          <w:between w:val="nil"/>
        </w:pBdr>
        <w:ind w:right="360"/>
      </w:pPr>
      <w:r>
        <w:rPr>
          <w:b/>
          <w:color w:val="1F1F1F"/>
        </w:rPr>
        <w:t>Physical Limitations:</w:t>
      </w:r>
      <w:r>
        <w:rPr>
          <w:color w:val="1F1F1F"/>
        </w:rPr>
        <w:t xml:space="preserve"> Lack of physical infrastructure, like fiber optic cables or cell towers, restricts access in rural and remote areas (ITU, 2023). Geographic challenges add to the cost and complexity of deployment.</w:t>
      </w:r>
    </w:p>
    <w:p w14:paraId="00000006" w14:textId="77777777" w:rsidR="002E19B6" w:rsidRDefault="00000000">
      <w:pPr>
        <w:numPr>
          <w:ilvl w:val="0"/>
          <w:numId w:val="5"/>
        </w:numPr>
        <w:pBdr>
          <w:top w:val="nil"/>
          <w:left w:val="nil"/>
          <w:bottom w:val="nil"/>
          <w:right w:val="nil"/>
          <w:between w:val="nil"/>
        </w:pBdr>
        <w:spacing w:after="150"/>
        <w:ind w:right="360"/>
      </w:pPr>
      <w:r>
        <w:rPr>
          <w:b/>
          <w:color w:val="1F1F1F"/>
        </w:rPr>
        <w:t>Outdated Technology:</w:t>
      </w:r>
      <w:r>
        <w:rPr>
          <w:color w:val="1F1F1F"/>
        </w:rPr>
        <w:t xml:space="preserve"> Reliance on older, slower technologies like dial-up limits internet speed and affordability, widening the divide in comparison to areas with advanced broadband access (World Bank, 2021).</w:t>
      </w:r>
    </w:p>
    <w:p w14:paraId="00000007" w14:textId="77777777" w:rsidR="002E19B6" w:rsidRDefault="00000000">
      <w:pPr>
        <w:pBdr>
          <w:top w:val="nil"/>
          <w:left w:val="nil"/>
          <w:bottom w:val="nil"/>
          <w:right w:val="nil"/>
          <w:between w:val="nil"/>
        </w:pBdr>
        <w:spacing w:before="360" w:after="360"/>
        <w:ind w:right="360"/>
        <w:rPr>
          <w:b/>
          <w:color w:val="1F1F1F"/>
        </w:rPr>
      </w:pPr>
      <w:r>
        <w:rPr>
          <w:b/>
          <w:color w:val="1F1F1F"/>
        </w:rPr>
        <w:t>Economic Affordability:</w:t>
      </w:r>
    </w:p>
    <w:p w14:paraId="00000008" w14:textId="77777777" w:rsidR="002E19B6" w:rsidRDefault="00000000">
      <w:pPr>
        <w:numPr>
          <w:ilvl w:val="0"/>
          <w:numId w:val="6"/>
        </w:numPr>
        <w:pBdr>
          <w:top w:val="nil"/>
          <w:left w:val="nil"/>
          <w:bottom w:val="nil"/>
          <w:right w:val="nil"/>
          <w:between w:val="nil"/>
        </w:pBdr>
        <w:ind w:right="360"/>
      </w:pPr>
      <w:r>
        <w:rPr>
          <w:b/>
          <w:color w:val="1F1F1F"/>
        </w:rPr>
        <w:t>High Costs:</w:t>
      </w:r>
      <w:r>
        <w:rPr>
          <w:color w:val="1F1F1F"/>
        </w:rPr>
        <w:t xml:space="preserve"> The affordability of devices, internet subscriptions, and data plans remains a significant hurdle for low-income individuals and communities, especially in developing countries (UNCTAD, 2022).</w:t>
      </w:r>
    </w:p>
    <w:p w14:paraId="00000009" w14:textId="77777777" w:rsidR="002E19B6" w:rsidRDefault="00000000">
      <w:pPr>
        <w:numPr>
          <w:ilvl w:val="0"/>
          <w:numId w:val="6"/>
        </w:numPr>
        <w:pBdr>
          <w:top w:val="nil"/>
          <w:left w:val="nil"/>
          <w:bottom w:val="nil"/>
          <w:right w:val="nil"/>
          <w:between w:val="nil"/>
        </w:pBdr>
        <w:spacing w:after="150"/>
        <w:ind w:right="360"/>
      </w:pPr>
      <w:r>
        <w:rPr>
          <w:b/>
          <w:color w:val="1F1F1F"/>
        </w:rPr>
        <w:t>Digital Exclusion:</w:t>
      </w:r>
      <w:r>
        <w:rPr>
          <w:color w:val="1F1F1F"/>
        </w:rPr>
        <w:t xml:space="preserve"> Exorbitant costs limit access not only to the internet but also to crucial online services like education, healthcare, and financial tools, perpetuating inequalities.</w:t>
      </w:r>
    </w:p>
    <w:p w14:paraId="0000000A" w14:textId="77777777" w:rsidR="002E19B6" w:rsidRDefault="00000000">
      <w:pPr>
        <w:pBdr>
          <w:top w:val="nil"/>
          <w:left w:val="nil"/>
          <w:bottom w:val="nil"/>
          <w:right w:val="nil"/>
          <w:between w:val="nil"/>
        </w:pBdr>
        <w:spacing w:before="360" w:after="360"/>
        <w:ind w:right="360"/>
        <w:rPr>
          <w:b/>
          <w:color w:val="1F1F1F"/>
        </w:rPr>
      </w:pPr>
      <w:r>
        <w:rPr>
          <w:b/>
          <w:color w:val="1F1F1F"/>
        </w:rPr>
        <w:t>Digital Literacy and Skills:</w:t>
      </w:r>
    </w:p>
    <w:p w14:paraId="0000000B" w14:textId="77777777" w:rsidR="002E19B6" w:rsidRDefault="00000000">
      <w:pPr>
        <w:numPr>
          <w:ilvl w:val="0"/>
          <w:numId w:val="7"/>
        </w:numPr>
        <w:pBdr>
          <w:top w:val="nil"/>
          <w:left w:val="nil"/>
          <w:bottom w:val="nil"/>
          <w:right w:val="nil"/>
          <w:between w:val="nil"/>
        </w:pBdr>
        <w:ind w:right="360"/>
      </w:pPr>
      <w:r>
        <w:rPr>
          <w:b/>
          <w:color w:val="1F1F1F"/>
        </w:rPr>
        <w:t>Knowledge Gap:</w:t>
      </w:r>
      <w:r>
        <w:rPr>
          <w:color w:val="1F1F1F"/>
        </w:rPr>
        <w:t xml:space="preserve"> Lack of digital literacy skills, including basic computer usage, online safety, and critical thinking, can hinder people from effectively utilizing available technologies.</w:t>
      </w:r>
    </w:p>
    <w:p w14:paraId="0000000C" w14:textId="77777777" w:rsidR="002E19B6" w:rsidRDefault="00000000">
      <w:pPr>
        <w:numPr>
          <w:ilvl w:val="0"/>
          <w:numId w:val="7"/>
        </w:numPr>
        <w:pBdr>
          <w:top w:val="nil"/>
          <w:left w:val="nil"/>
          <w:bottom w:val="nil"/>
          <w:right w:val="nil"/>
          <w:between w:val="nil"/>
        </w:pBdr>
        <w:spacing w:after="150"/>
        <w:ind w:right="360"/>
      </w:pPr>
      <w:r>
        <w:rPr>
          <w:b/>
          <w:color w:val="1F1F1F"/>
        </w:rPr>
        <w:t>Education Deficits:</w:t>
      </w:r>
      <w:r>
        <w:rPr>
          <w:color w:val="1F1F1F"/>
        </w:rPr>
        <w:t xml:space="preserve"> Limited access to quality education and digital training programs creates a vicious cycle, where knowledge gaps prevent individuals from fully participating in the digital world and gaining skills for better employment opportunities (UNESCO, 2022).</w:t>
      </w:r>
    </w:p>
    <w:p w14:paraId="0000000D" w14:textId="77777777" w:rsidR="002E19B6" w:rsidRDefault="00000000">
      <w:pPr>
        <w:pBdr>
          <w:top w:val="nil"/>
          <w:left w:val="nil"/>
          <w:bottom w:val="nil"/>
          <w:right w:val="nil"/>
          <w:between w:val="nil"/>
        </w:pBdr>
        <w:spacing w:before="360" w:after="360"/>
        <w:ind w:right="360"/>
        <w:rPr>
          <w:b/>
          <w:color w:val="1F1F1F"/>
        </w:rPr>
      </w:pPr>
      <w:r>
        <w:rPr>
          <w:b/>
          <w:color w:val="1F1F1F"/>
        </w:rPr>
        <w:t>Social and Cultural Barriers:</w:t>
      </w:r>
    </w:p>
    <w:p w14:paraId="0000000E" w14:textId="77777777" w:rsidR="002E19B6" w:rsidRDefault="00000000">
      <w:pPr>
        <w:numPr>
          <w:ilvl w:val="0"/>
          <w:numId w:val="1"/>
        </w:numPr>
        <w:pBdr>
          <w:top w:val="nil"/>
          <w:left w:val="nil"/>
          <w:bottom w:val="nil"/>
          <w:right w:val="nil"/>
          <w:between w:val="nil"/>
        </w:pBdr>
        <w:ind w:right="360"/>
      </w:pPr>
      <w:r>
        <w:rPr>
          <w:b/>
          <w:color w:val="1F1F1F"/>
        </w:rPr>
        <w:t>Gender Inequality:</w:t>
      </w:r>
      <w:r>
        <w:rPr>
          <w:color w:val="1F1F1F"/>
        </w:rPr>
        <w:t xml:space="preserve"> Digital gender gaps persist, with women less likely to access and use the internet due to cultural norms, limited mobility, and lack of digital skills training (GSMA, 2023).</w:t>
      </w:r>
    </w:p>
    <w:p w14:paraId="0000000F" w14:textId="77777777" w:rsidR="002E19B6" w:rsidRDefault="00000000">
      <w:pPr>
        <w:numPr>
          <w:ilvl w:val="0"/>
          <w:numId w:val="1"/>
        </w:numPr>
        <w:pBdr>
          <w:top w:val="nil"/>
          <w:left w:val="nil"/>
          <w:bottom w:val="nil"/>
          <w:right w:val="nil"/>
          <w:between w:val="nil"/>
        </w:pBdr>
        <w:ind w:right="360"/>
      </w:pPr>
      <w:r>
        <w:rPr>
          <w:b/>
          <w:color w:val="1F1F1F"/>
        </w:rPr>
        <w:lastRenderedPageBreak/>
        <w:t>Language Barriers:</w:t>
      </w:r>
      <w:r>
        <w:rPr>
          <w:color w:val="1F1F1F"/>
        </w:rPr>
        <w:t xml:space="preserve"> Limited multilingual content and services online exclude individuals who don't speak dominant languages, hindering access to information and participation in the global digital community.</w:t>
      </w:r>
    </w:p>
    <w:p w14:paraId="00000010" w14:textId="77777777" w:rsidR="002E19B6" w:rsidRDefault="00000000">
      <w:pPr>
        <w:numPr>
          <w:ilvl w:val="0"/>
          <w:numId w:val="1"/>
        </w:numPr>
        <w:pBdr>
          <w:top w:val="nil"/>
          <w:left w:val="nil"/>
          <w:bottom w:val="nil"/>
          <w:right w:val="nil"/>
          <w:between w:val="nil"/>
        </w:pBdr>
        <w:spacing w:after="150"/>
        <w:ind w:right="360"/>
      </w:pPr>
      <w:r>
        <w:rPr>
          <w:b/>
          <w:color w:val="1F1F1F"/>
        </w:rPr>
        <w:t>Trust and Misinformation:</w:t>
      </w:r>
      <w:r>
        <w:rPr>
          <w:color w:val="1F1F1F"/>
        </w:rPr>
        <w:t xml:space="preserve"> Concerns about privacy, security, and online scams can deter individuals from trusting and actively engaging with the online world, further widening the divide.</w:t>
      </w:r>
    </w:p>
    <w:p w14:paraId="00000011" w14:textId="77777777" w:rsidR="002E19B6" w:rsidRDefault="00000000">
      <w:pPr>
        <w:pBdr>
          <w:top w:val="nil"/>
          <w:left w:val="nil"/>
          <w:bottom w:val="nil"/>
          <w:right w:val="nil"/>
          <w:between w:val="nil"/>
        </w:pBdr>
        <w:spacing w:before="360" w:after="360"/>
        <w:ind w:right="360"/>
        <w:rPr>
          <w:b/>
          <w:color w:val="1F1F1F"/>
        </w:rPr>
      </w:pPr>
      <w:r>
        <w:rPr>
          <w:b/>
          <w:color w:val="1F1F1F"/>
        </w:rPr>
        <w:t>Policy and Regulation:</w:t>
      </w:r>
    </w:p>
    <w:p w14:paraId="00000012" w14:textId="77777777" w:rsidR="002E19B6" w:rsidRDefault="00000000">
      <w:pPr>
        <w:numPr>
          <w:ilvl w:val="0"/>
          <w:numId w:val="2"/>
        </w:numPr>
        <w:pBdr>
          <w:top w:val="nil"/>
          <w:left w:val="nil"/>
          <w:bottom w:val="nil"/>
          <w:right w:val="nil"/>
          <w:between w:val="nil"/>
        </w:pBdr>
        <w:ind w:right="360"/>
      </w:pPr>
      <w:r>
        <w:rPr>
          <w:b/>
          <w:color w:val="1F1F1F"/>
        </w:rPr>
        <w:t>Government Policies:</w:t>
      </w:r>
      <w:r>
        <w:rPr>
          <w:color w:val="1F1F1F"/>
        </w:rPr>
        <w:t xml:space="preserve"> Restrictive policies, censorship, and lack of competition in the telecom sector can limit market entry and discourage investment in infrastructure development, hindering widespread access (World Economic Forum, 2023).</w:t>
      </w:r>
    </w:p>
    <w:p w14:paraId="00000013" w14:textId="77777777" w:rsidR="002E19B6" w:rsidRDefault="00000000">
      <w:pPr>
        <w:numPr>
          <w:ilvl w:val="0"/>
          <w:numId w:val="2"/>
        </w:numPr>
        <w:pBdr>
          <w:top w:val="nil"/>
          <w:left w:val="nil"/>
          <w:bottom w:val="nil"/>
          <w:right w:val="nil"/>
          <w:between w:val="nil"/>
        </w:pBdr>
        <w:spacing w:after="150"/>
        <w:ind w:right="360"/>
      </w:pPr>
      <w:r>
        <w:rPr>
          <w:b/>
          <w:color w:val="1F1F1F"/>
        </w:rPr>
        <w:t>Universal Access Frameworks:</w:t>
      </w:r>
      <w:r>
        <w:rPr>
          <w:color w:val="1F1F1F"/>
        </w:rPr>
        <w:t xml:space="preserve"> The absence of clear policies and regulations promoting universal access to ICTs can hinder infrastructure development and prevent effective use of available resources.</w:t>
      </w:r>
    </w:p>
    <w:p w14:paraId="00000014" w14:textId="77777777" w:rsidR="002E19B6" w:rsidRDefault="00000000">
      <w:pPr>
        <w:pBdr>
          <w:top w:val="nil"/>
          <w:left w:val="nil"/>
          <w:bottom w:val="nil"/>
          <w:right w:val="nil"/>
          <w:between w:val="nil"/>
        </w:pBdr>
        <w:spacing w:before="360" w:after="360"/>
        <w:ind w:right="360"/>
        <w:rPr>
          <w:b/>
          <w:color w:val="1F1F1F"/>
        </w:rPr>
      </w:pPr>
      <w:r>
        <w:rPr>
          <w:b/>
          <w:color w:val="1F1F1F"/>
        </w:rPr>
        <w:t>Overcoming the Divide:</w:t>
      </w:r>
    </w:p>
    <w:p w14:paraId="00000015" w14:textId="77777777" w:rsidR="002E19B6" w:rsidRDefault="00000000">
      <w:pPr>
        <w:pBdr>
          <w:top w:val="nil"/>
          <w:left w:val="nil"/>
          <w:bottom w:val="nil"/>
          <w:right w:val="nil"/>
          <w:between w:val="nil"/>
        </w:pBdr>
        <w:spacing w:after="360"/>
        <w:ind w:right="360"/>
        <w:rPr>
          <w:color w:val="1F1F1F"/>
        </w:rPr>
      </w:pPr>
      <w:r>
        <w:rPr>
          <w:color w:val="1F1F1F"/>
        </w:rPr>
        <w:t>Addressing these diverse barriers requires a multi-pronged approach involving collaboration between governments, private sector, civil society organizations, and individuals. Initiatives may include:</w:t>
      </w:r>
    </w:p>
    <w:p w14:paraId="00000016" w14:textId="77777777" w:rsidR="002E19B6" w:rsidRDefault="00000000">
      <w:pPr>
        <w:numPr>
          <w:ilvl w:val="0"/>
          <w:numId w:val="3"/>
        </w:numPr>
        <w:pBdr>
          <w:top w:val="nil"/>
          <w:left w:val="nil"/>
          <w:bottom w:val="nil"/>
          <w:right w:val="nil"/>
          <w:between w:val="nil"/>
        </w:pBdr>
        <w:ind w:right="360"/>
      </w:pPr>
      <w:r>
        <w:rPr>
          <w:b/>
          <w:color w:val="1F1F1F"/>
        </w:rPr>
        <w:t>Infrastructure investments:</w:t>
      </w:r>
      <w:r>
        <w:rPr>
          <w:color w:val="1F1F1F"/>
        </w:rPr>
        <w:t xml:space="preserve"> Public-private partnerships and innovative financing mechanisms can expand affordable access to high-speed broadband networks in underserved areas.</w:t>
      </w:r>
    </w:p>
    <w:p w14:paraId="00000017" w14:textId="77777777" w:rsidR="002E19B6" w:rsidRDefault="00000000">
      <w:pPr>
        <w:numPr>
          <w:ilvl w:val="0"/>
          <w:numId w:val="3"/>
        </w:numPr>
        <w:pBdr>
          <w:top w:val="nil"/>
          <w:left w:val="nil"/>
          <w:bottom w:val="nil"/>
          <w:right w:val="nil"/>
          <w:between w:val="nil"/>
        </w:pBdr>
        <w:ind w:right="360"/>
      </w:pPr>
      <w:r>
        <w:rPr>
          <w:b/>
          <w:color w:val="1F1F1F"/>
        </w:rPr>
        <w:t>Subsidy programs:</w:t>
      </w:r>
      <w:r>
        <w:rPr>
          <w:color w:val="1F1F1F"/>
        </w:rPr>
        <w:t xml:space="preserve"> Subsidies for devices, data plans, and digital literacy training can make technology more accessible for low-income populations.</w:t>
      </w:r>
    </w:p>
    <w:p w14:paraId="00000018" w14:textId="77777777" w:rsidR="002E19B6" w:rsidRDefault="00000000">
      <w:pPr>
        <w:numPr>
          <w:ilvl w:val="0"/>
          <w:numId w:val="3"/>
        </w:numPr>
        <w:pBdr>
          <w:top w:val="nil"/>
          <w:left w:val="nil"/>
          <w:bottom w:val="nil"/>
          <w:right w:val="nil"/>
          <w:between w:val="nil"/>
        </w:pBdr>
        <w:ind w:right="360"/>
      </w:pPr>
      <w:r>
        <w:rPr>
          <w:b/>
          <w:color w:val="1F1F1F"/>
        </w:rPr>
        <w:t>Digital literacy training:</w:t>
      </w:r>
      <w:r>
        <w:rPr>
          <w:color w:val="1F1F1F"/>
        </w:rPr>
        <w:t xml:space="preserve"> Comprehensive training programs can equip individuals with the skills needed to </w:t>
      </w:r>
      <w:proofErr w:type="gramStart"/>
      <w:r>
        <w:rPr>
          <w:color w:val="1F1F1F"/>
        </w:rPr>
        <w:t>confidently and safely navigate the online world</w:t>
      </w:r>
      <w:proofErr w:type="gramEnd"/>
      <w:r>
        <w:rPr>
          <w:color w:val="1F1F1F"/>
        </w:rPr>
        <w:t>.</w:t>
      </w:r>
    </w:p>
    <w:p w14:paraId="00000019" w14:textId="77777777" w:rsidR="002E19B6" w:rsidRDefault="00000000">
      <w:pPr>
        <w:numPr>
          <w:ilvl w:val="0"/>
          <w:numId w:val="3"/>
        </w:numPr>
        <w:pBdr>
          <w:top w:val="nil"/>
          <w:left w:val="nil"/>
          <w:bottom w:val="nil"/>
          <w:right w:val="nil"/>
          <w:between w:val="nil"/>
        </w:pBdr>
        <w:ind w:right="360"/>
      </w:pPr>
      <w:r>
        <w:rPr>
          <w:b/>
          <w:color w:val="1F1F1F"/>
        </w:rPr>
        <w:t>Inclusive content and services:</w:t>
      </w:r>
      <w:r>
        <w:rPr>
          <w:color w:val="1F1F1F"/>
        </w:rPr>
        <w:t xml:space="preserve"> Promoting multilingual content, localized solutions, and culturally relevant applications can make online resources more accessible and engaging for diverse populations.</w:t>
      </w:r>
    </w:p>
    <w:p w14:paraId="0000001A" w14:textId="77777777" w:rsidR="002E19B6" w:rsidRDefault="00000000">
      <w:pPr>
        <w:numPr>
          <w:ilvl w:val="0"/>
          <w:numId w:val="3"/>
        </w:numPr>
        <w:pBdr>
          <w:top w:val="nil"/>
          <w:left w:val="nil"/>
          <w:bottom w:val="nil"/>
          <w:right w:val="nil"/>
          <w:between w:val="nil"/>
        </w:pBdr>
        <w:ind w:right="360"/>
      </w:pPr>
      <w:r>
        <w:rPr>
          <w:b/>
          <w:color w:val="1F1F1F"/>
        </w:rPr>
        <w:t>Gender-focused initiatives:</w:t>
      </w:r>
      <w:r>
        <w:rPr>
          <w:color w:val="1F1F1F"/>
        </w:rPr>
        <w:t xml:space="preserve"> Targeted programs addressing gender barriers, like training sessions for women and girls, can bridge the digital gender gap.</w:t>
      </w:r>
    </w:p>
    <w:p w14:paraId="0000001B" w14:textId="77777777" w:rsidR="002E19B6" w:rsidRDefault="00000000">
      <w:pPr>
        <w:numPr>
          <w:ilvl w:val="0"/>
          <w:numId w:val="3"/>
        </w:numPr>
        <w:pBdr>
          <w:top w:val="nil"/>
          <w:left w:val="nil"/>
          <w:bottom w:val="nil"/>
          <w:right w:val="nil"/>
          <w:between w:val="nil"/>
        </w:pBdr>
        <w:spacing w:after="150"/>
        <w:ind w:right="360"/>
      </w:pPr>
      <w:r>
        <w:rPr>
          <w:b/>
          <w:color w:val="1F1F1F"/>
        </w:rPr>
        <w:t>Enabling policies:</w:t>
      </w:r>
      <w:r>
        <w:rPr>
          <w:color w:val="1F1F1F"/>
        </w:rPr>
        <w:t xml:space="preserve"> Supportive government policies that promote competition, affordability, and universal access can create a conducive environment for ICT development.</w:t>
      </w:r>
    </w:p>
    <w:p w14:paraId="0000001C" w14:textId="77777777" w:rsidR="002E19B6" w:rsidRDefault="00000000">
      <w:pPr>
        <w:pBdr>
          <w:top w:val="nil"/>
          <w:left w:val="nil"/>
          <w:bottom w:val="nil"/>
          <w:right w:val="nil"/>
          <w:between w:val="nil"/>
        </w:pBdr>
        <w:spacing w:before="360" w:after="360"/>
        <w:ind w:right="360"/>
        <w:rPr>
          <w:color w:val="1F1F1F"/>
        </w:rPr>
      </w:pPr>
      <w:r>
        <w:rPr>
          <w:color w:val="1F1F1F"/>
        </w:rPr>
        <w:t>Closing the digital divide is not just a technical challenge but a complex social, economic, and political issue. Recognizing the multifaceted nature of barriers and implementing holistic solutions are crucial steps toward creating a more equitable and inclusive digital world for all.</w:t>
      </w:r>
    </w:p>
    <w:p w14:paraId="0000001D" w14:textId="77777777" w:rsidR="002E19B6" w:rsidRDefault="00000000">
      <w:pPr>
        <w:pBdr>
          <w:top w:val="nil"/>
          <w:left w:val="nil"/>
          <w:bottom w:val="nil"/>
          <w:right w:val="nil"/>
          <w:between w:val="nil"/>
        </w:pBdr>
        <w:spacing w:after="360"/>
        <w:ind w:right="360"/>
        <w:rPr>
          <w:b/>
          <w:color w:val="1F1F1F"/>
        </w:rPr>
      </w:pPr>
      <w:r>
        <w:rPr>
          <w:b/>
          <w:color w:val="1F1F1F"/>
        </w:rPr>
        <w:t>References:</w:t>
      </w:r>
    </w:p>
    <w:p w14:paraId="0000001E" w14:textId="77777777" w:rsidR="002E19B6" w:rsidRDefault="00000000">
      <w:pPr>
        <w:numPr>
          <w:ilvl w:val="0"/>
          <w:numId w:val="4"/>
        </w:numPr>
        <w:pBdr>
          <w:top w:val="nil"/>
          <w:left w:val="nil"/>
          <w:bottom w:val="nil"/>
          <w:right w:val="nil"/>
          <w:between w:val="nil"/>
        </w:pBdr>
        <w:ind w:right="360"/>
      </w:pPr>
      <w:r>
        <w:rPr>
          <w:color w:val="1F1F1F"/>
        </w:rPr>
        <w:t>GSMA. (2023). The Mobile Gender Gap Report 2023. Retrieved from &lt;invalid URL removed&gt;</w:t>
      </w:r>
    </w:p>
    <w:p w14:paraId="0000001F" w14:textId="77777777" w:rsidR="002E19B6" w:rsidRDefault="00000000">
      <w:pPr>
        <w:numPr>
          <w:ilvl w:val="0"/>
          <w:numId w:val="4"/>
        </w:numPr>
        <w:pBdr>
          <w:top w:val="nil"/>
          <w:left w:val="nil"/>
          <w:bottom w:val="nil"/>
          <w:right w:val="nil"/>
          <w:between w:val="nil"/>
        </w:pBdr>
        <w:ind w:right="360"/>
      </w:pPr>
      <w:r>
        <w:rPr>
          <w:color w:val="1F1F1F"/>
        </w:rPr>
        <w:lastRenderedPageBreak/>
        <w:t>ITU. (2023). Measuring Digital Development 2023: Facts and Figures. Retrieved from &lt;invalid URL removed&gt;</w:t>
      </w:r>
    </w:p>
    <w:p w14:paraId="00000020" w14:textId="77777777" w:rsidR="002E19B6" w:rsidRDefault="00000000">
      <w:pPr>
        <w:numPr>
          <w:ilvl w:val="0"/>
          <w:numId w:val="4"/>
        </w:numPr>
        <w:pBdr>
          <w:top w:val="nil"/>
          <w:left w:val="nil"/>
          <w:bottom w:val="nil"/>
          <w:right w:val="nil"/>
          <w:between w:val="nil"/>
        </w:pBdr>
        <w:ind w:right="360"/>
      </w:pPr>
      <w:r>
        <w:rPr>
          <w:color w:val="1F1F1F"/>
        </w:rPr>
        <w:t>UNESCO. (2022). Education in the Digital Age: Shaping the future of education to address global challenges. Retrieved from &lt;invalid URL removed&gt;</w:t>
      </w:r>
    </w:p>
    <w:p w14:paraId="00000021" w14:textId="77777777" w:rsidR="002E19B6" w:rsidRDefault="00000000">
      <w:pPr>
        <w:numPr>
          <w:ilvl w:val="0"/>
          <w:numId w:val="4"/>
        </w:numPr>
        <w:pBdr>
          <w:top w:val="nil"/>
          <w:left w:val="nil"/>
          <w:bottom w:val="nil"/>
          <w:right w:val="nil"/>
          <w:between w:val="nil"/>
        </w:pBdr>
        <w:spacing w:after="150"/>
        <w:ind w:right="360"/>
      </w:pPr>
      <w:r>
        <w:rPr>
          <w:color w:val="1F1F1F"/>
        </w:rPr>
        <w:t>UNCTAD. (2022). Information Economy Report 2022: Digitalization for Development. Retrieved from &lt;invalid URL removed&gt;_</w:t>
      </w:r>
    </w:p>
    <w:sectPr w:rsidR="002E19B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D1"/>
    <w:multiLevelType w:val="multilevel"/>
    <w:tmpl w:val="04603580"/>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9A8009F"/>
    <w:multiLevelType w:val="multilevel"/>
    <w:tmpl w:val="15BC2964"/>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D7D03E5"/>
    <w:multiLevelType w:val="multilevel"/>
    <w:tmpl w:val="4DE6CEC6"/>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2C5D1D0C"/>
    <w:multiLevelType w:val="multilevel"/>
    <w:tmpl w:val="11CC1BB2"/>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5AB17070"/>
    <w:multiLevelType w:val="multilevel"/>
    <w:tmpl w:val="74B84738"/>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5DCA4ED1"/>
    <w:multiLevelType w:val="multilevel"/>
    <w:tmpl w:val="DD5A6E9A"/>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5FD07D0A"/>
    <w:multiLevelType w:val="multilevel"/>
    <w:tmpl w:val="66729C4E"/>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742413923">
    <w:abstractNumId w:val="2"/>
  </w:num>
  <w:num w:numId="2" w16cid:durableId="1032998786">
    <w:abstractNumId w:val="3"/>
  </w:num>
  <w:num w:numId="3" w16cid:durableId="1041321918">
    <w:abstractNumId w:val="1"/>
  </w:num>
  <w:num w:numId="4" w16cid:durableId="1349412090">
    <w:abstractNumId w:val="4"/>
  </w:num>
  <w:num w:numId="5" w16cid:durableId="355279372">
    <w:abstractNumId w:val="0"/>
  </w:num>
  <w:num w:numId="6" w16cid:durableId="1127747550">
    <w:abstractNumId w:val="6"/>
  </w:num>
  <w:num w:numId="7" w16cid:durableId="176697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9B6"/>
    <w:rsid w:val="002E19B6"/>
    <w:rsid w:val="0049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7143"/>
  <w15:docId w15:val="{6C11100B-5ACE-4537-8035-C5799DC0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Felvegi, Emese</cp:lastModifiedBy>
  <cp:revision>2</cp:revision>
  <dcterms:created xsi:type="dcterms:W3CDTF">2024-02-07T15:16:00Z</dcterms:created>
  <dcterms:modified xsi:type="dcterms:W3CDTF">2024-02-07T15:19:00Z</dcterms:modified>
</cp:coreProperties>
</file>